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2304" w:rsidRPr="00BB3B39" w:rsidRDefault="00F82304" w:rsidP="00BB3B39">
      <w:pPr>
        <w:spacing w:line="480" w:lineRule="auto"/>
        <w:jc w:val="center"/>
        <w:rPr>
          <w:rFonts w:ascii="Times New Roman" w:hAnsi="Times New Roman" w:cs="Times New Roman"/>
          <w:sz w:val="24"/>
          <w:szCs w:val="24"/>
        </w:rPr>
      </w:pPr>
    </w:p>
    <w:p w:rsidR="00F82304" w:rsidRPr="00BB3B39" w:rsidRDefault="00F82304" w:rsidP="00BB3B39">
      <w:pPr>
        <w:spacing w:line="480" w:lineRule="auto"/>
        <w:jc w:val="center"/>
        <w:rPr>
          <w:rFonts w:ascii="Times New Roman" w:hAnsi="Times New Roman" w:cs="Times New Roman"/>
          <w:sz w:val="24"/>
          <w:szCs w:val="24"/>
        </w:rPr>
      </w:pPr>
    </w:p>
    <w:p w:rsidR="00F912FD" w:rsidRPr="00BB3B39" w:rsidRDefault="00F912FD" w:rsidP="00BB3B39">
      <w:pPr>
        <w:spacing w:line="480" w:lineRule="auto"/>
        <w:jc w:val="center"/>
        <w:rPr>
          <w:rFonts w:ascii="Times New Roman" w:hAnsi="Times New Roman" w:cs="Times New Roman"/>
          <w:sz w:val="24"/>
          <w:szCs w:val="24"/>
        </w:rPr>
      </w:pPr>
    </w:p>
    <w:p w:rsidR="00F912FD" w:rsidRPr="00BB3B39" w:rsidRDefault="00F912FD" w:rsidP="00BB3B39">
      <w:pPr>
        <w:spacing w:line="480" w:lineRule="auto"/>
        <w:jc w:val="center"/>
        <w:rPr>
          <w:rFonts w:ascii="Times New Roman" w:hAnsi="Times New Roman" w:cs="Times New Roman"/>
          <w:sz w:val="24"/>
          <w:szCs w:val="24"/>
        </w:rPr>
      </w:pPr>
    </w:p>
    <w:p w:rsidR="001C240B" w:rsidRPr="00BB3B39" w:rsidRDefault="00440991" w:rsidP="00BB3B39">
      <w:pPr>
        <w:spacing w:line="480" w:lineRule="auto"/>
        <w:jc w:val="center"/>
        <w:rPr>
          <w:rFonts w:ascii="Times New Roman" w:hAnsi="Times New Roman" w:cs="Times New Roman"/>
          <w:sz w:val="24"/>
          <w:szCs w:val="24"/>
        </w:rPr>
      </w:pPr>
      <w:r w:rsidRPr="00BB3B39">
        <w:rPr>
          <w:rFonts w:ascii="Times New Roman" w:hAnsi="Times New Roman" w:cs="Times New Roman"/>
          <w:sz w:val="24"/>
          <w:szCs w:val="24"/>
        </w:rPr>
        <w:t>Patient treatment and social implications</w:t>
      </w:r>
    </w:p>
    <w:p w:rsidR="00F912FD" w:rsidRPr="00BB3B39" w:rsidRDefault="00440991" w:rsidP="00BB3B39">
      <w:pPr>
        <w:spacing w:line="480" w:lineRule="auto"/>
        <w:jc w:val="center"/>
        <w:rPr>
          <w:rFonts w:ascii="Times New Roman" w:hAnsi="Times New Roman" w:cs="Times New Roman"/>
          <w:sz w:val="24"/>
          <w:szCs w:val="24"/>
        </w:rPr>
      </w:pPr>
      <w:r w:rsidRPr="00BB3B39">
        <w:rPr>
          <w:rFonts w:ascii="Times New Roman" w:hAnsi="Times New Roman" w:cs="Times New Roman"/>
          <w:sz w:val="24"/>
          <w:szCs w:val="24"/>
        </w:rPr>
        <w:t>Student’s Name</w:t>
      </w:r>
    </w:p>
    <w:p w:rsidR="00F912FD" w:rsidRPr="00BB3B39" w:rsidRDefault="00440991" w:rsidP="00BB3B39">
      <w:pPr>
        <w:spacing w:line="480" w:lineRule="auto"/>
        <w:jc w:val="center"/>
        <w:rPr>
          <w:rFonts w:ascii="Times New Roman" w:hAnsi="Times New Roman" w:cs="Times New Roman"/>
          <w:sz w:val="24"/>
          <w:szCs w:val="24"/>
        </w:rPr>
      </w:pPr>
      <w:r w:rsidRPr="00BB3B39">
        <w:rPr>
          <w:rFonts w:ascii="Times New Roman" w:hAnsi="Times New Roman" w:cs="Times New Roman"/>
          <w:sz w:val="24"/>
          <w:szCs w:val="24"/>
        </w:rPr>
        <w:t>University Affiliation</w:t>
      </w:r>
    </w:p>
    <w:p w:rsidR="00F912FD" w:rsidRPr="00BB3B39" w:rsidRDefault="00440991" w:rsidP="00BB3B39">
      <w:pPr>
        <w:spacing w:line="480" w:lineRule="auto"/>
        <w:jc w:val="center"/>
        <w:rPr>
          <w:rFonts w:ascii="Times New Roman" w:hAnsi="Times New Roman" w:cs="Times New Roman"/>
          <w:sz w:val="24"/>
          <w:szCs w:val="24"/>
        </w:rPr>
      </w:pPr>
      <w:r w:rsidRPr="00BB3B39">
        <w:rPr>
          <w:rFonts w:ascii="Times New Roman" w:hAnsi="Times New Roman" w:cs="Times New Roman"/>
          <w:sz w:val="24"/>
          <w:szCs w:val="24"/>
        </w:rPr>
        <w:t>Course Name</w:t>
      </w:r>
    </w:p>
    <w:p w:rsidR="00F912FD" w:rsidRPr="00BB3B39" w:rsidRDefault="00440991" w:rsidP="00BB3B39">
      <w:pPr>
        <w:spacing w:line="480" w:lineRule="auto"/>
        <w:jc w:val="center"/>
        <w:rPr>
          <w:rFonts w:ascii="Times New Roman" w:hAnsi="Times New Roman" w:cs="Times New Roman"/>
          <w:sz w:val="24"/>
          <w:szCs w:val="24"/>
        </w:rPr>
      </w:pPr>
      <w:r w:rsidRPr="00BB3B39">
        <w:rPr>
          <w:rFonts w:ascii="Times New Roman" w:hAnsi="Times New Roman" w:cs="Times New Roman"/>
          <w:sz w:val="24"/>
          <w:szCs w:val="24"/>
        </w:rPr>
        <w:t>Professor’s Name</w:t>
      </w:r>
    </w:p>
    <w:p w:rsidR="004477A2" w:rsidRPr="00BB3B39" w:rsidRDefault="00440991" w:rsidP="00BB3B39">
      <w:pPr>
        <w:spacing w:line="480" w:lineRule="auto"/>
        <w:jc w:val="center"/>
        <w:rPr>
          <w:rFonts w:ascii="Times New Roman" w:hAnsi="Times New Roman" w:cs="Times New Roman"/>
          <w:sz w:val="24"/>
          <w:szCs w:val="24"/>
        </w:rPr>
      </w:pPr>
      <w:r w:rsidRPr="00BB3B39">
        <w:rPr>
          <w:rFonts w:ascii="Times New Roman" w:hAnsi="Times New Roman" w:cs="Times New Roman"/>
          <w:sz w:val="24"/>
          <w:szCs w:val="24"/>
        </w:rPr>
        <w:t>Date</w:t>
      </w:r>
    </w:p>
    <w:p w:rsidR="004477A2" w:rsidRPr="00BB3B39" w:rsidRDefault="00440991" w:rsidP="00BB3B39">
      <w:pPr>
        <w:spacing w:line="480" w:lineRule="auto"/>
        <w:rPr>
          <w:rFonts w:ascii="Times New Roman" w:hAnsi="Times New Roman" w:cs="Times New Roman"/>
          <w:sz w:val="24"/>
          <w:szCs w:val="24"/>
        </w:rPr>
      </w:pPr>
      <w:r w:rsidRPr="00BB3B39">
        <w:rPr>
          <w:rFonts w:ascii="Times New Roman" w:hAnsi="Times New Roman" w:cs="Times New Roman"/>
          <w:sz w:val="24"/>
          <w:szCs w:val="24"/>
        </w:rPr>
        <w:br w:type="page"/>
      </w:r>
    </w:p>
    <w:p w:rsidR="00BB3B39" w:rsidRPr="00BB3B39" w:rsidRDefault="00440991" w:rsidP="00BB3B39">
      <w:pPr>
        <w:spacing w:line="480" w:lineRule="auto"/>
        <w:jc w:val="center"/>
        <w:rPr>
          <w:rFonts w:ascii="Times New Roman" w:hAnsi="Times New Roman" w:cs="Times New Roman"/>
          <w:sz w:val="24"/>
          <w:szCs w:val="24"/>
        </w:rPr>
      </w:pPr>
      <w:r w:rsidRPr="00BB3B39">
        <w:rPr>
          <w:rFonts w:ascii="Times New Roman" w:hAnsi="Times New Roman" w:cs="Times New Roman"/>
          <w:sz w:val="24"/>
          <w:szCs w:val="24"/>
        </w:rPr>
        <w:lastRenderedPageBreak/>
        <w:t>Patient treatment and social implications</w:t>
      </w:r>
    </w:p>
    <w:p w:rsidR="00BB3B39" w:rsidRPr="00BB3B39" w:rsidRDefault="00440991" w:rsidP="00BB3B39">
      <w:pPr>
        <w:spacing w:line="480" w:lineRule="auto"/>
        <w:ind w:firstLine="720"/>
        <w:rPr>
          <w:rFonts w:ascii="Times New Roman" w:hAnsi="Times New Roman" w:cs="Times New Roman"/>
          <w:sz w:val="24"/>
          <w:szCs w:val="24"/>
        </w:rPr>
      </w:pPr>
      <w:r w:rsidRPr="00BB3B39">
        <w:rPr>
          <w:rFonts w:ascii="Times New Roman" w:hAnsi="Times New Roman" w:cs="Times New Roman"/>
          <w:sz w:val="24"/>
          <w:szCs w:val="24"/>
        </w:rPr>
        <w:t xml:space="preserve">Autonomy and ethics are two contributing components in healthcare, to guarantee patients are </w:t>
      </w:r>
      <w:r w:rsidRPr="00BB3B39">
        <w:rPr>
          <w:rFonts w:ascii="Times New Roman" w:hAnsi="Times New Roman" w:cs="Times New Roman"/>
          <w:sz w:val="24"/>
          <w:szCs w:val="24"/>
        </w:rPr>
        <w:t>being dealt with accurately and the office is working as proficiently as could be expected under the circumstances. Patients are given explicit rights that every medicinal services supplier must pursue. Patients in social insurance are additionally given t</w:t>
      </w:r>
      <w:r w:rsidRPr="00BB3B39">
        <w:rPr>
          <w:rFonts w:ascii="Times New Roman" w:hAnsi="Times New Roman" w:cs="Times New Roman"/>
          <w:sz w:val="24"/>
          <w:szCs w:val="24"/>
        </w:rPr>
        <w:t>he privilege to self-assurance, enabling them to oversee themselves inside close to home healthcare choices. There are laws and guidelines set up to guarantee patients are remained careful, just as the social insurance offices. When talking about medicinal</w:t>
      </w:r>
      <w:r w:rsidRPr="00BB3B39">
        <w:rPr>
          <w:rFonts w:ascii="Times New Roman" w:hAnsi="Times New Roman" w:cs="Times New Roman"/>
          <w:sz w:val="24"/>
          <w:szCs w:val="24"/>
        </w:rPr>
        <w:t xml:space="preserve"> issues, the strict terms utilized might be befuddling to those endeavoring to decipher. As it is critical for therapeutic services suppliers to gain proficiency with their extent of work, it is similarly as imperative for suppliers to instruct their patie</w:t>
      </w:r>
      <w:r w:rsidRPr="00BB3B39">
        <w:rPr>
          <w:rFonts w:ascii="Times New Roman" w:hAnsi="Times New Roman" w:cs="Times New Roman"/>
          <w:sz w:val="24"/>
          <w:szCs w:val="24"/>
        </w:rPr>
        <w:t>nts of the conceivable medications.</w:t>
      </w:r>
    </w:p>
    <w:p w:rsidR="001C240B" w:rsidRPr="00BB3B39" w:rsidRDefault="00440991" w:rsidP="00BB3B39">
      <w:pPr>
        <w:spacing w:line="480" w:lineRule="auto"/>
        <w:ind w:firstLine="720"/>
        <w:rPr>
          <w:rFonts w:ascii="Times New Roman" w:hAnsi="Times New Roman" w:cs="Times New Roman"/>
          <w:sz w:val="24"/>
          <w:szCs w:val="24"/>
        </w:rPr>
      </w:pPr>
      <w:r w:rsidRPr="00BB3B39">
        <w:rPr>
          <w:rFonts w:ascii="Times New Roman" w:hAnsi="Times New Roman" w:cs="Times New Roman"/>
          <w:sz w:val="24"/>
          <w:szCs w:val="24"/>
        </w:rPr>
        <w:t xml:space="preserve"> It is vital for patients to feel as though they were given a reasonable shot at getting to be solid once more, therapeutic services suppliers must audit every one of the subtleties and make sure to guarantee that the pa</w:t>
      </w:r>
      <w:r w:rsidRPr="00BB3B39">
        <w:rPr>
          <w:rFonts w:ascii="Times New Roman" w:hAnsi="Times New Roman" w:cs="Times New Roman"/>
          <w:sz w:val="24"/>
          <w:szCs w:val="24"/>
        </w:rPr>
        <w:t>tient is completely mindful of what is being said. Through the means of ensuring patients understand, is it critical to recall patient rights, to enable patients to settle on choices without the impact of medicinal services suppliers, and give a point by p</w:t>
      </w:r>
      <w:r w:rsidRPr="00BB3B39">
        <w:rPr>
          <w:rFonts w:ascii="Times New Roman" w:hAnsi="Times New Roman" w:cs="Times New Roman"/>
          <w:sz w:val="24"/>
          <w:szCs w:val="24"/>
        </w:rPr>
        <w:t>oint assent type of any treatment? One's ethics and learning of patterns and issues have the ability to impact a supplier for the great. The therapeutic services environment is where one can feel safe and realize that what is being done, is to improve thin</w:t>
      </w:r>
      <w:r w:rsidRPr="00BB3B39">
        <w:rPr>
          <w:rFonts w:ascii="Times New Roman" w:hAnsi="Times New Roman" w:cs="Times New Roman"/>
          <w:sz w:val="24"/>
          <w:szCs w:val="24"/>
        </w:rPr>
        <w:t xml:space="preserve">gs; in this way, patient consideration should be a principle center in human services today.  </w:t>
      </w:r>
    </w:p>
    <w:p w:rsidR="00BB3B39" w:rsidRPr="00BB3B39" w:rsidRDefault="00440991" w:rsidP="00BB3B39">
      <w:pPr>
        <w:spacing w:line="480" w:lineRule="auto"/>
        <w:ind w:firstLine="720"/>
        <w:rPr>
          <w:rFonts w:ascii="Times New Roman" w:hAnsi="Times New Roman" w:cs="Times New Roman"/>
          <w:sz w:val="24"/>
          <w:szCs w:val="24"/>
        </w:rPr>
      </w:pPr>
      <w:r w:rsidRPr="00BB3B39">
        <w:rPr>
          <w:rFonts w:ascii="Times New Roman" w:hAnsi="Times New Roman" w:cs="Times New Roman"/>
          <w:sz w:val="24"/>
          <w:szCs w:val="24"/>
        </w:rPr>
        <w:t>In any healthcare setting, patients are given the privilege of self-assurance and autonomy. Autonomy and self-assurance go hand-in-hand as autonomy is an equival</w:t>
      </w:r>
      <w:r w:rsidRPr="00BB3B39">
        <w:rPr>
          <w:rFonts w:ascii="Times New Roman" w:hAnsi="Times New Roman" w:cs="Times New Roman"/>
          <w:sz w:val="24"/>
          <w:szCs w:val="24"/>
        </w:rPr>
        <w:t>ent word for self-</w:t>
      </w:r>
      <w:r w:rsidRPr="00BB3B39">
        <w:rPr>
          <w:rFonts w:ascii="Times New Roman" w:hAnsi="Times New Roman" w:cs="Times New Roman"/>
          <w:sz w:val="24"/>
          <w:szCs w:val="24"/>
        </w:rPr>
        <w:lastRenderedPageBreak/>
        <w:t>assurance; the rights patients need to settle on educational choices concerning their own therapeutic consideration. Whenever autonomy and self-assurance are available, it is appearing for human nobility, culture, and one's rights. In lig</w:t>
      </w:r>
      <w:r w:rsidRPr="00BB3B39">
        <w:rPr>
          <w:rFonts w:ascii="Times New Roman" w:hAnsi="Times New Roman" w:cs="Times New Roman"/>
          <w:sz w:val="24"/>
          <w:szCs w:val="24"/>
        </w:rPr>
        <w:t>ht of the gallbladder medical procedure assent structure, patients are satisfactorily educated of their medicinal rights. This assent structure clarifies what precisely the method is. As that is valuable, it is up to the healthcare supplier to altogether c</w:t>
      </w:r>
      <w:r w:rsidRPr="00BB3B39">
        <w:rPr>
          <w:rFonts w:ascii="Times New Roman" w:hAnsi="Times New Roman" w:cs="Times New Roman"/>
          <w:sz w:val="24"/>
          <w:szCs w:val="24"/>
        </w:rPr>
        <w:t>larify what every therapeutic term implies, as the normal individual is curious about with such broad medicinal terms.</w:t>
      </w:r>
    </w:p>
    <w:p w:rsidR="00BB3B39" w:rsidRPr="00BB3B39" w:rsidRDefault="00440991" w:rsidP="00BB3B39">
      <w:pPr>
        <w:spacing w:line="480" w:lineRule="auto"/>
        <w:ind w:firstLine="720"/>
        <w:rPr>
          <w:rFonts w:ascii="Times New Roman" w:hAnsi="Times New Roman" w:cs="Times New Roman"/>
          <w:sz w:val="24"/>
          <w:szCs w:val="24"/>
        </w:rPr>
      </w:pPr>
      <w:r w:rsidRPr="00BB3B39">
        <w:rPr>
          <w:rFonts w:ascii="Times New Roman" w:hAnsi="Times New Roman" w:cs="Times New Roman"/>
          <w:sz w:val="24"/>
          <w:szCs w:val="24"/>
        </w:rPr>
        <w:t xml:space="preserve"> It is additionally useful that the patient remains educated task and techniques, the ailment, choices for medications, the guess and the</w:t>
      </w:r>
      <w:r w:rsidRPr="00BB3B39">
        <w:rPr>
          <w:rFonts w:ascii="Times New Roman" w:hAnsi="Times New Roman" w:cs="Times New Roman"/>
          <w:sz w:val="24"/>
          <w:szCs w:val="24"/>
        </w:rPr>
        <w:t xml:space="preserve"> conceivable hazard, just as guaranteeing the patient completely understand what is said in each area. While investigating classes of data on the assent structure, it is critical to guarantee the patient appropriately understands the wording of the sentenc</w:t>
      </w:r>
      <w:r w:rsidRPr="00BB3B39">
        <w:rPr>
          <w:rFonts w:ascii="Times New Roman" w:hAnsi="Times New Roman" w:cs="Times New Roman"/>
          <w:sz w:val="24"/>
          <w:szCs w:val="24"/>
        </w:rPr>
        <w:t>e and the genuine significance of the words utilized, "The medical caretaker saves, ensures and bolsters patient autonomy by surveying the patient's perception of both the data displayed and the ramifications of choice" (</w:t>
      </w:r>
      <w:r w:rsidRPr="00BB3B39">
        <w:rPr>
          <w:rFonts w:ascii="Times New Roman" w:hAnsi="Times New Roman" w:cs="Times New Roman"/>
          <w:color w:val="222222"/>
          <w:sz w:val="24"/>
          <w:szCs w:val="24"/>
          <w:shd w:val="clear" w:color="auto" w:fill="FFFFFF"/>
        </w:rPr>
        <w:t>Schott, 2012</w:t>
      </w:r>
      <w:r w:rsidRPr="00BB3B39">
        <w:rPr>
          <w:rFonts w:ascii="Times New Roman" w:hAnsi="Times New Roman" w:cs="Times New Roman"/>
          <w:sz w:val="24"/>
          <w:szCs w:val="24"/>
        </w:rPr>
        <w:t xml:space="preserve">). As appropriate data </w:t>
      </w:r>
      <w:r w:rsidRPr="00BB3B39">
        <w:rPr>
          <w:rFonts w:ascii="Times New Roman" w:hAnsi="Times New Roman" w:cs="Times New Roman"/>
          <w:sz w:val="24"/>
          <w:szCs w:val="24"/>
        </w:rPr>
        <w:t>is essential, recall that it is, at last, the patient's choice, not the suppliers. The human services suppliers are to teach patients; they are not to impact or put weight on the choices the patient appearances.</w:t>
      </w:r>
    </w:p>
    <w:p w:rsidR="00BB3B39" w:rsidRPr="00BB3B39" w:rsidRDefault="00440991" w:rsidP="00BB3B39">
      <w:pPr>
        <w:spacing w:line="480" w:lineRule="auto"/>
        <w:ind w:firstLine="720"/>
        <w:rPr>
          <w:rFonts w:ascii="Times New Roman" w:hAnsi="Times New Roman" w:cs="Times New Roman"/>
          <w:sz w:val="24"/>
          <w:szCs w:val="24"/>
        </w:rPr>
      </w:pPr>
      <w:r w:rsidRPr="00BB3B39">
        <w:rPr>
          <w:rFonts w:ascii="Times New Roman" w:hAnsi="Times New Roman" w:cs="Times New Roman"/>
          <w:sz w:val="24"/>
          <w:szCs w:val="24"/>
        </w:rPr>
        <w:t>Human services suppliers must consider in nu</w:t>
      </w:r>
      <w:r w:rsidRPr="00BB3B39">
        <w:rPr>
          <w:rFonts w:ascii="Times New Roman" w:hAnsi="Times New Roman" w:cs="Times New Roman"/>
          <w:sz w:val="24"/>
          <w:szCs w:val="24"/>
        </w:rPr>
        <w:t>merous regions of data to guarantee that patients legitimately understand everything expressed on the assent structure, just as a guarantee they are set up to give satisfactory assent. As it is amazingly urgent for agree to be comprehended entirely as it d</w:t>
      </w:r>
      <w:r w:rsidRPr="00BB3B39">
        <w:rPr>
          <w:rFonts w:ascii="Times New Roman" w:hAnsi="Times New Roman" w:cs="Times New Roman"/>
          <w:sz w:val="24"/>
          <w:szCs w:val="24"/>
        </w:rPr>
        <w:t>ispenses with issues of negligence that may emerge. As it facilitates law issues, it enables autonomy to be polished legitimately. There are numerous means human services suppliers must take to guarantee patients are entirely and accurately educated, the t</w:t>
      </w:r>
      <w:r w:rsidRPr="00BB3B39">
        <w:rPr>
          <w:rFonts w:ascii="Times New Roman" w:hAnsi="Times New Roman" w:cs="Times New Roman"/>
          <w:sz w:val="24"/>
          <w:szCs w:val="24"/>
        </w:rPr>
        <w:t xml:space="preserve">hree fundamental advances incorporate; recognize patient rights, enabling patients to settle on choices </w:t>
      </w:r>
      <w:r w:rsidRPr="00BB3B39">
        <w:rPr>
          <w:rFonts w:ascii="Times New Roman" w:hAnsi="Times New Roman" w:cs="Times New Roman"/>
          <w:sz w:val="24"/>
          <w:szCs w:val="24"/>
        </w:rPr>
        <w:lastRenderedPageBreak/>
        <w:t>without the impact or weight of social insurance suppliers, and give a definite assent structure. Recognizing patient rights is usually known as autonom</w:t>
      </w:r>
      <w:r w:rsidRPr="00BB3B39">
        <w:rPr>
          <w:rFonts w:ascii="Times New Roman" w:hAnsi="Times New Roman" w:cs="Times New Roman"/>
          <w:sz w:val="24"/>
          <w:szCs w:val="24"/>
        </w:rPr>
        <w:t xml:space="preserve">y (Frank, 2013). Autonomy relates to self-overseeing, as patients are given the privilege to settle on their own choices relating to their wellbeing. For instance, </w:t>
      </w:r>
      <w:r w:rsidRPr="00BB3B39">
        <w:rPr>
          <w:rFonts w:ascii="Times New Roman" w:hAnsi="Times New Roman" w:cs="Times New Roman"/>
          <w:color w:val="1B1B1B"/>
          <w:sz w:val="24"/>
          <w:szCs w:val="24"/>
          <w:shd w:val="clear" w:color="auto" w:fill="FFFFFF"/>
        </w:rPr>
        <w:t>the female had multiple surgeries on her right ear for reconstruction of her microtia. Previ</w:t>
      </w:r>
      <w:r w:rsidRPr="00BB3B39">
        <w:rPr>
          <w:rFonts w:ascii="Times New Roman" w:hAnsi="Times New Roman" w:cs="Times New Roman"/>
          <w:color w:val="1B1B1B"/>
          <w:sz w:val="24"/>
          <w:szCs w:val="24"/>
          <w:shd w:val="clear" w:color="auto" w:fill="FFFFFF"/>
        </w:rPr>
        <w:t>ous work including a silicone elastomer framework, which was unsatisfactory perpetuating her desire to have a bone-anchored auricular prosthesis. After removal of the silicone elastomer framework, she elected to have a bar and clip system to satisfy best h</w:t>
      </w:r>
      <w:r w:rsidRPr="00BB3B39">
        <w:rPr>
          <w:rFonts w:ascii="Times New Roman" w:hAnsi="Times New Roman" w:cs="Times New Roman"/>
          <w:color w:val="1B1B1B"/>
          <w:sz w:val="24"/>
          <w:szCs w:val="24"/>
          <w:shd w:val="clear" w:color="auto" w:fill="FFFFFF"/>
        </w:rPr>
        <w:t xml:space="preserve">er needs </w:t>
      </w:r>
      <w:r w:rsidRPr="00BB3B39">
        <w:rPr>
          <w:rFonts w:ascii="Times New Roman" w:hAnsi="Times New Roman" w:cs="Times New Roman"/>
          <w:sz w:val="24"/>
          <w:szCs w:val="24"/>
        </w:rPr>
        <w:t xml:space="preserve">mindful of the other treatment alternatives they have, including no treatment. </w:t>
      </w:r>
    </w:p>
    <w:p w:rsidR="00BB3B39" w:rsidRPr="00BB3B39" w:rsidRDefault="00440991" w:rsidP="00BB3B39">
      <w:pPr>
        <w:spacing w:line="480" w:lineRule="auto"/>
        <w:ind w:firstLine="720"/>
        <w:rPr>
          <w:rFonts w:ascii="Times New Roman" w:hAnsi="Times New Roman" w:cs="Times New Roman"/>
          <w:sz w:val="24"/>
          <w:szCs w:val="24"/>
        </w:rPr>
      </w:pPr>
      <w:r w:rsidRPr="00BB3B39">
        <w:rPr>
          <w:rFonts w:ascii="Times New Roman" w:hAnsi="Times New Roman" w:cs="Times New Roman"/>
          <w:sz w:val="24"/>
          <w:szCs w:val="24"/>
        </w:rPr>
        <w:t>Another significant advance is guaranteeing that therapeutic services suppliers are not impacting the choices of patients. Patients are qualified for their own choices</w:t>
      </w:r>
      <w:r w:rsidRPr="00BB3B39">
        <w:rPr>
          <w:rFonts w:ascii="Times New Roman" w:hAnsi="Times New Roman" w:cs="Times New Roman"/>
          <w:sz w:val="24"/>
          <w:szCs w:val="24"/>
        </w:rPr>
        <w:t>, if one may feel constrained into something, it might bring uneasiness upon the patient because the choice made, was not what they had wanted. At long last, it is critical to furnish patients with a point by point and precise assent structure. An assent s</w:t>
      </w:r>
      <w:r w:rsidRPr="00BB3B39">
        <w:rPr>
          <w:rFonts w:ascii="Times New Roman" w:hAnsi="Times New Roman" w:cs="Times New Roman"/>
          <w:sz w:val="24"/>
          <w:szCs w:val="24"/>
        </w:rPr>
        <w:t>tructure gives insights concerning the treatment picked; it enables patients to be completely mindful of what precisely they are getting, what precisely should be done earlier and post-treatment, it audits the conceivable dangers, just as advantages. Furni</w:t>
      </w:r>
      <w:r w:rsidRPr="00BB3B39">
        <w:rPr>
          <w:rFonts w:ascii="Times New Roman" w:hAnsi="Times New Roman" w:cs="Times New Roman"/>
          <w:sz w:val="24"/>
          <w:szCs w:val="24"/>
        </w:rPr>
        <w:t>shing patients with an assent structure give appropriate instruction, which at that point enables patients to make inquiries about their treatment. Assent frames likewise convey straightforwardness to medicinal services suppliers and offices as it brings d</w:t>
      </w:r>
      <w:r w:rsidRPr="00BB3B39">
        <w:rPr>
          <w:rFonts w:ascii="Times New Roman" w:hAnsi="Times New Roman" w:cs="Times New Roman"/>
          <w:sz w:val="24"/>
          <w:szCs w:val="24"/>
        </w:rPr>
        <w:t>own the danger of a claim. On the off chance that patients are completely mindful of all their treatment involves, just as the rights they have, it is then bound to get satisfactory assent from the patient.</w:t>
      </w:r>
    </w:p>
    <w:p w:rsidR="001C240B" w:rsidRPr="00BB3B39" w:rsidRDefault="00440991" w:rsidP="00BB3B39">
      <w:pPr>
        <w:spacing w:line="480" w:lineRule="auto"/>
        <w:ind w:firstLine="720"/>
        <w:rPr>
          <w:rFonts w:ascii="Times New Roman" w:hAnsi="Times New Roman" w:cs="Times New Roman"/>
          <w:sz w:val="24"/>
          <w:szCs w:val="24"/>
        </w:rPr>
      </w:pPr>
      <w:r w:rsidRPr="00BB3B39">
        <w:rPr>
          <w:rFonts w:ascii="Times New Roman" w:hAnsi="Times New Roman" w:cs="Times New Roman"/>
          <w:sz w:val="24"/>
          <w:szCs w:val="24"/>
        </w:rPr>
        <w:t xml:space="preserve">Remaining mindful of social insurance issues and </w:t>
      </w:r>
      <w:r w:rsidRPr="00BB3B39">
        <w:rPr>
          <w:rFonts w:ascii="Times New Roman" w:hAnsi="Times New Roman" w:cs="Times New Roman"/>
          <w:sz w:val="24"/>
          <w:szCs w:val="24"/>
        </w:rPr>
        <w:t xml:space="preserve">patterns is critical as human services is always expanding. There are in every case new standards, laws, methods for correspondence, and ethics. With the end goal for one to settle on moral choices, they should know about what is </w:t>
      </w:r>
      <w:r w:rsidRPr="00BB3B39">
        <w:rPr>
          <w:rFonts w:ascii="Times New Roman" w:hAnsi="Times New Roman" w:cs="Times New Roman"/>
          <w:sz w:val="24"/>
          <w:szCs w:val="24"/>
        </w:rPr>
        <w:lastRenderedPageBreak/>
        <w:t>correct and what's going o</w:t>
      </w:r>
      <w:r w:rsidRPr="00BB3B39">
        <w:rPr>
          <w:rFonts w:ascii="Times New Roman" w:hAnsi="Times New Roman" w:cs="Times New Roman"/>
          <w:sz w:val="24"/>
          <w:szCs w:val="24"/>
        </w:rPr>
        <w:t>n. It's been demonstrated that the better correspondence there will be, there will be more advantages, "Further, correspondence among healthcare colleagues impacts the nature of working connections, work fulfillment and has a significant</w:t>
      </w:r>
      <w:r w:rsidR="00BB3B39" w:rsidRPr="00BB3B39">
        <w:rPr>
          <w:rFonts w:ascii="Times New Roman" w:hAnsi="Times New Roman" w:cs="Times New Roman"/>
          <w:sz w:val="24"/>
          <w:szCs w:val="24"/>
        </w:rPr>
        <w:t xml:space="preserve"> effect of patient wellbeing" (Hem et al., 2018</w:t>
      </w:r>
      <w:r w:rsidRPr="00BB3B39">
        <w:rPr>
          <w:rFonts w:ascii="Times New Roman" w:hAnsi="Times New Roman" w:cs="Times New Roman"/>
          <w:sz w:val="24"/>
          <w:szCs w:val="24"/>
        </w:rPr>
        <w:t>.). As contention in social insurance keeps on rising, settling on moral choices winds up simpler as one basically remains mindful. Serious issues can emerge from miscommunication; it is in every case best to screen corresponden</w:t>
      </w:r>
      <w:r w:rsidRPr="00BB3B39">
        <w:rPr>
          <w:rFonts w:ascii="Times New Roman" w:hAnsi="Times New Roman" w:cs="Times New Roman"/>
          <w:sz w:val="24"/>
          <w:szCs w:val="24"/>
        </w:rPr>
        <w:t>ce to guarantee there will be no issues. By remaining mindful and state-of-the-art on patterns and issues, gives suppliers leverage of realizing how to legitimately manage conditions, instead of settling on a minute ago and forced choices.</w:t>
      </w:r>
    </w:p>
    <w:p w:rsidR="00182F17" w:rsidRPr="00BB3B39" w:rsidRDefault="00440991" w:rsidP="00BB3B39">
      <w:pPr>
        <w:spacing w:line="480" w:lineRule="auto"/>
        <w:ind w:firstLine="720"/>
        <w:rPr>
          <w:rFonts w:ascii="Times New Roman" w:hAnsi="Times New Roman" w:cs="Times New Roman"/>
          <w:sz w:val="24"/>
          <w:szCs w:val="24"/>
        </w:rPr>
      </w:pPr>
      <w:r w:rsidRPr="00BB3B39">
        <w:rPr>
          <w:rFonts w:ascii="Times New Roman" w:hAnsi="Times New Roman" w:cs="Times New Roman"/>
          <w:sz w:val="24"/>
          <w:szCs w:val="24"/>
        </w:rPr>
        <w:t>Taking everything into account, with the assistance of autonomy, self-assurance, one's ethics, and learning, human services authorities will almost certainly give unlimited advantages to patients while protecting patients, alongside social insurance office</w:t>
      </w:r>
      <w:r w:rsidRPr="00BB3B39">
        <w:rPr>
          <w:rFonts w:ascii="Times New Roman" w:hAnsi="Times New Roman" w:cs="Times New Roman"/>
          <w:sz w:val="24"/>
          <w:szCs w:val="24"/>
        </w:rPr>
        <w:t>s. Patients are qualified for some rights, making it critical for medicinal services suppliers to know and pursue the guidelines set up, to secure patients. Autonomy and self-assurance enable patients to settle on choices for themselves, without the impact</w:t>
      </w:r>
      <w:r w:rsidRPr="00BB3B39">
        <w:rPr>
          <w:rFonts w:ascii="Times New Roman" w:hAnsi="Times New Roman" w:cs="Times New Roman"/>
          <w:sz w:val="24"/>
          <w:szCs w:val="24"/>
        </w:rPr>
        <w:t xml:space="preserve"> of medicinal services suppliers. Patients are qualified for this privilege to keep them in happiness as they experience what might be a troublesome time for them. Autonomy likewise demands suppliers to teach their patients on all the nitty gritty points o</w:t>
      </w:r>
      <w:r w:rsidRPr="00BB3B39">
        <w:rPr>
          <w:rFonts w:ascii="Times New Roman" w:hAnsi="Times New Roman" w:cs="Times New Roman"/>
          <w:sz w:val="24"/>
          <w:szCs w:val="24"/>
        </w:rPr>
        <w:t>f interest; patients must be completely mindful and understand the little subtleties to guarantee they are given the reasonable treatment they merit. As it is critical to instruct patients, it is likewise imperative to guarantee the supplier isn't affectin</w:t>
      </w:r>
      <w:r w:rsidRPr="00BB3B39">
        <w:rPr>
          <w:rFonts w:ascii="Times New Roman" w:hAnsi="Times New Roman" w:cs="Times New Roman"/>
          <w:sz w:val="24"/>
          <w:szCs w:val="24"/>
        </w:rPr>
        <w:t xml:space="preserve">g or influencing the choice upon a patient, as it is their entitlement to pick their treatment or reject treatment whenever wanted. It is essential for human services offices and suppliers to rehearse guidelines and guidelines to </w:t>
      </w:r>
      <w:r w:rsidRPr="00BB3B39">
        <w:rPr>
          <w:rFonts w:ascii="Times New Roman" w:hAnsi="Times New Roman" w:cs="Times New Roman"/>
          <w:sz w:val="24"/>
          <w:szCs w:val="24"/>
        </w:rPr>
        <w:lastRenderedPageBreak/>
        <w:t>guarantee patients are tre</w:t>
      </w:r>
      <w:r w:rsidRPr="00BB3B39">
        <w:rPr>
          <w:rFonts w:ascii="Times New Roman" w:hAnsi="Times New Roman" w:cs="Times New Roman"/>
          <w:sz w:val="24"/>
          <w:szCs w:val="24"/>
        </w:rPr>
        <w:t>ated with the farthest regard, while likewise protecting suppliers when issues may emerge.</w:t>
      </w:r>
    </w:p>
    <w:p w:rsidR="00574364" w:rsidRDefault="00574364" w:rsidP="00574364">
      <w:pPr>
        <w:pStyle w:val="ListParagraph"/>
        <w:spacing w:line="480" w:lineRule="auto"/>
        <w:rPr>
          <w:rFonts w:ascii="Times New Roman" w:hAnsi="Times New Roman" w:cs="Times New Roman"/>
          <w:sz w:val="24"/>
          <w:szCs w:val="24"/>
        </w:rPr>
      </w:pPr>
    </w:p>
    <w:p w:rsidR="00574364" w:rsidRDefault="00574364" w:rsidP="00574364">
      <w:pPr>
        <w:pStyle w:val="ListParagraph"/>
        <w:spacing w:line="480" w:lineRule="auto"/>
        <w:rPr>
          <w:rFonts w:ascii="Times New Roman" w:hAnsi="Times New Roman" w:cs="Times New Roman"/>
          <w:sz w:val="24"/>
          <w:szCs w:val="24"/>
        </w:rPr>
      </w:pPr>
    </w:p>
    <w:p w:rsidR="00574364" w:rsidRDefault="00574364" w:rsidP="00574364">
      <w:pPr>
        <w:pStyle w:val="ListParagraph"/>
        <w:spacing w:line="480" w:lineRule="auto"/>
        <w:rPr>
          <w:rFonts w:ascii="Times New Roman" w:hAnsi="Times New Roman" w:cs="Times New Roman"/>
          <w:sz w:val="24"/>
          <w:szCs w:val="24"/>
        </w:rPr>
      </w:pPr>
    </w:p>
    <w:p w:rsidR="00574364" w:rsidRDefault="00574364" w:rsidP="00574364">
      <w:pPr>
        <w:pStyle w:val="ListParagraph"/>
        <w:spacing w:line="480" w:lineRule="auto"/>
        <w:rPr>
          <w:rFonts w:ascii="Times New Roman" w:hAnsi="Times New Roman" w:cs="Times New Roman"/>
          <w:sz w:val="24"/>
          <w:szCs w:val="24"/>
        </w:rPr>
      </w:pPr>
    </w:p>
    <w:p w:rsidR="00574364" w:rsidRDefault="00574364" w:rsidP="00574364">
      <w:pPr>
        <w:pStyle w:val="ListParagraph"/>
        <w:spacing w:line="480" w:lineRule="auto"/>
        <w:rPr>
          <w:rFonts w:ascii="Times New Roman" w:hAnsi="Times New Roman" w:cs="Times New Roman"/>
          <w:sz w:val="24"/>
          <w:szCs w:val="24"/>
        </w:rPr>
      </w:pPr>
    </w:p>
    <w:p w:rsidR="00574364" w:rsidRDefault="00574364" w:rsidP="00574364">
      <w:pPr>
        <w:pStyle w:val="ListParagraph"/>
        <w:spacing w:line="480" w:lineRule="auto"/>
        <w:rPr>
          <w:rFonts w:ascii="Times New Roman" w:hAnsi="Times New Roman" w:cs="Times New Roman"/>
          <w:sz w:val="24"/>
          <w:szCs w:val="24"/>
        </w:rPr>
      </w:pPr>
    </w:p>
    <w:p w:rsidR="00574364" w:rsidRDefault="00574364" w:rsidP="00574364">
      <w:pPr>
        <w:pStyle w:val="ListParagraph"/>
        <w:spacing w:line="480" w:lineRule="auto"/>
        <w:rPr>
          <w:rFonts w:ascii="Times New Roman" w:hAnsi="Times New Roman" w:cs="Times New Roman"/>
          <w:sz w:val="24"/>
          <w:szCs w:val="24"/>
        </w:rPr>
      </w:pPr>
    </w:p>
    <w:p w:rsidR="00574364" w:rsidRDefault="00574364" w:rsidP="00574364">
      <w:pPr>
        <w:pStyle w:val="ListParagraph"/>
        <w:spacing w:line="480" w:lineRule="auto"/>
        <w:rPr>
          <w:rFonts w:ascii="Times New Roman" w:hAnsi="Times New Roman" w:cs="Times New Roman"/>
          <w:sz w:val="24"/>
          <w:szCs w:val="24"/>
        </w:rPr>
      </w:pPr>
    </w:p>
    <w:p w:rsidR="00574364" w:rsidRDefault="00574364" w:rsidP="00574364">
      <w:pPr>
        <w:pStyle w:val="ListParagraph"/>
        <w:spacing w:line="480" w:lineRule="auto"/>
        <w:rPr>
          <w:rFonts w:ascii="Times New Roman" w:hAnsi="Times New Roman" w:cs="Times New Roman"/>
          <w:sz w:val="24"/>
          <w:szCs w:val="24"/>
        </w:rPr>
      </w:pPr>
    </w:p>
    <w:p w:rsidR="00574364" w:rsidRDefault="00574364" w:rsidP="00574364">
      <w:pPr>
        <w:pStyle w:val="ListParagraph"/>
        <w:spacing w:line="480" w:lineRule="auto"/>
        <w:rPr>
          <w:rFonts w:ascii="Times New Roman" w:hAnsi="Times New Roman" w:cs="Times New Roman"/>
          <w:sz w:val="24"/>
          <w:szCs w:val="24"/>
        </w:rPr>
      </w:pPr>
    </w:p>
    <w:p w:rsidR="00574364" w:rsidRDefault="00574364" w:rsidP="00574364">
      <w:pPr>
        <w:pStyle w:val="ListParagraph"/>
        <w:spacing w:line="480" w:lineRule="auto"/>
        <w:rPr>
          <w:rFonts w:ascii="Times New Roman" w:hAnsi="Times New Roman" w:cs="Times New Roman"/>
          <w:sz w:val="24"/>
          <w:szCs w:val="24"/>
        </w:rPr>
      </w:pPr>
    </w:p>
    <w:p w:rsidR="00574364" w:rsidRDefault="00574364" w:rsidP="00574364">
      <w:pPr>
        <w:pStyle w:val="ListParagraph"/>
        <w:spacing w:line="480" w:lineRule="auto"/>
        <w:rPr>
          <w:rFonts w:ascii="Times New Roman" w:hAnsi="Times New Roman" w:cs="Times New Roman"/>
          <w:sz w:val="24"/>
          <w:szCs w:val="24"/>
        </w:rPr>
      </w:pPr>
    </w:p>
    <w:p w:rsidR="00574364" w:rsidRDefault="00574364" w:rsidP="00574364">
      <w:pPr>
        <w:pStyle w:val="ListParagraph"/>
        <w:spacing w:line="480" w:lineRule="auto"/>
        <w:rPr>
          <w:rFonts w:ascii="Times New Roman" w:hAnsi="Times New Roman" w:cs="Times New Roman"/>
          <w:sz w:val="24"/>
          <w:szCs w:val="24"/>
        </w:rPr>
      </w:pPr>
    </w:p>
    <w:p w:rsidR="00574364" w:rsidRDefault="00574364" w:rsidP="00574364">
      <w:pPr>
        <w:pStyle w:val="ListParagraph"/>
        <w:spacing w:line="480" w:lineRule="auto"/>
        <w:rPr>
          <w:rFonts w:ascii="Times New Roman" w:hAnsi="Times New Roman" w:cs="Times New Roman"/>
          <w:sz w:val="24"/>
          <w:szCs w:val="24"/>
        </w:rPr>
      </w:pPr>
    </w:p>
    <w:p w:rsidR="00574364" w:rsidRDefault="00574364" w:rsidP="00574364">
      <w:pPr>
        <w:pStyle w:val="ListParagraph"/>
        <w:spacing w:line="480" w:lineRule="auto"/>
        <w:rPr>
          <w:rFonts w:ascii="Times New Roman" w:hAnsi="Times New Roman" w:cs="Times New Roman"/>
          <w:sz w:val="24"/>
          <w:szCs w:val="24"/>
        </w:rPr>
      </w:pPr>
    </w:p>
    <w:p w:rsidR="00574364" w:rsidRDefault="00574364" w:rsidP="00574364">
      <w:pPr>
        <w:pStyle w:val="ListParagraph"/>
        <w:spacing w:line="480" w:lineRule="auto"/>
        <w:rPr>
          <w:rFonts w:ascii="Times New Roman" w:hAnsi="Times New Roman" w:cs="Times New Roman"/>
          <w:sz w:val="24"/>
          <w:szCs w:val="24"/>
        </w:rPr>
      </w:pPr>
    </w:p>
    <w:p w:rsidR="00574364" w:rsidRDefault="00574364" w:rsidP="00574364">
      <w:pPr>
        <w:pStyle w:val="ListParagraph"/>
        <w:spacing w:line="480" w:lineRule="auto"/>
        <w:rPr>
          <w:rFonts w:ascii="Times New Roman" w:hAnsi="Times New Roman" w:cs="Times New Roman"/>
          <w:sz w:val="24"/>
          <w:szCs w:val="24"/>
        </w:rPr>
      </w:pPr>
    </w:p>
    <w:p w:rsidR="00574364" w:rsidRDefault="00574364" w:rsidP="00574364">
      <w:pPr>
        <w:pStyle w:val="ListParagraph"/>
        <w:spacing w:line="480" w:lineRule="auto"/>
        <w:rPr>
          <w:rFonts w:ascii="Times New Roman" w:hAnsi="Times New Roman" w:cs="Times New Roman"/>
          <w:sz w:val="24"/>
          <w:szCs w:val="24"/>
        </w:rPr>
      </w:pPr>
    </w:p>
    <w:p w:rsidR="00574364" w:rsidRDefault="00574364" w:rsidP="00574364">
      <w:pPr>
        <w:pStyle w:val="ListParagraph"/>
        <w:spacing w:line="480" w:lineRule="auto"/>
        <w:rPr>
          <w:rFonts w:ascii="Times New Roman" w:hAnsi="Times New Roman" w:cs="Times New Roman"/>
          <w:sz w:val="24"/>
          <w:szCs w:val="24"/>
        </w:rPr>
      </w:pPr>
    </w:p>
    <w:p w:rsidR="00574364" w:rsidRDefault="00574364" w:rsidP="00574364">
      <w:pPr>
        <w:pStyle w:val="ListParagraph"/>
        <w:spacing w:line="480" w:lineRule="auto"/>
        <w:rPr>
          <w:rFonts w:ascii="Times New Roman" w:hAnsi="Times New Roman" w:cs="Times New Roman"/>
          <w:sz w:val="24"/>
          <w:szCs w:val="24"/>
        </w:rPr>
      </w:pPr>
    </w:p>
    <w:p w:rsidR="00574364" w:rsidRDefault="00574364" w:rsidP="00574364">
      <w:pPr>
        <w:pStyle w:val="ListParagraph"/>
        <w:spacing w:line="480" w:lineRule="auto"/>
        <w:rPr>
          <w:rFonts w:ascii="Times New Roman" w:hAnsi="Times New Roman" w:cs="Times New Roman"/>
          <w:sz w:val="24"/>
          <w:szCs w:val="24"/>
        </w:rPr>
      </w:pPr>
    </w:p>
    <w:p w:rsidR="00BB3B39" w:rsidRPr="00BB3B39" w:rsidRDefault="00440991" w:rsidP="00574364">
      <w:pPr>
        <w:pStyle w:val="ListParagraph"/>
        <w:spacing w:line="480" w:lineRule="auto"/>
        <w:jc w:val="center"/>
        <w:rPr>
          <w:rFonts w:ascii="Times New Roman" w:hAnsi="Times New Roman" w:cs="Times New Roman"/>
          <w:sz w:val="24"/>
          <w:szCs w:val="24"/>
        </w:rPr>
      </w:pPr>
      <w:r w:rsidRPr="00BB3B39">
        <w:rPr>
          <w:rFonts w:ascii="Times New Roman" w:hAnsi="Times New Roman" w:cs="Times New Roman"/>
          <w:sz w:val="24"/>
          <w:szCs w:val="24"/>
        </w:rPr>
        <w:lastRenderedPageBreak/>
        <w:t>References</w:t>
      </w:r>
    </w:p>
    <w:p w:rsidR="00BB3B39" w:rsidRPr="00BB3B39" w:rsidRDefault="00440991" w:rsidP="00BB3B39">
      <w:pPr>
        <w:spacing w:line="480" w:lineRule="auto"/>
        <w:ind w:left="720" w:hanging="720"/>
        <w:rPr>
          <w:rFonts w:ascii="Times New Roman" w:hAnsi="Times New Roman" w:cs="Times New Roman"/>
          <w:sz w:val="24"/>
          <w:szCs w:val="24"/>
        </w:rPr>
      </w:pPr>
      <w:r w:rsidRPr="00BB3B39">
        <w:rPr>
          <w:rFonts w:ascii="Times New Roman" w:hAnsi="Times New Roman" w:cs="Times New Roman"/>
          <w:sz w:val="24"/>
          <w:szCs w:val="24"/>
        </w:rPr>
        <w:t>Frank, L. (2013). Person-Centered Care, Autonomy, and the Definition of Health. American Journal of Bioethics, 13(8), 59–61. https://doi-org.lopes.idm.ocl</w:t>
      </w:r>
      <w:r w:rsidRPr="00BB3B39">
        <w:rPr>
          <w:rFonts w:ascii="Times New Roman" w:hAnsi="Times New Roman" w:cs="Times New Roman"/>
          <w:sz w:val="24"/>
          <w:szCs w:val="24"/>
        </w:rPr>
        <w:t>c.org/10.1080/15265161.2013.802068</w:t>
      </w:r>
    </w:p>
    <w:p w:rsidR="00BB3B39" w:rsidRPr="00BB3B39" w:rsidRDefault="00440991" w:rsidP="00BB3B39">
      <w:pPr>
        <w:spacing w:line="480" w:lineRule="auto"/>
        <w:ind w:left="720" w:hanging="720"/>
        <w:rPr>
          <w:rFonts w:ascii="Times New Roman" w:hAnsi="Times New Roman" w:cs="Times New Roman"/>
          <w:sz w:val="24"/>
          <w:szCs w:val="24"/>
        </w:rPr>
      </w:pPr>
      <w:r w:rsidRPr="00BB3B39">
        <w:rPr>
          <w:rFonts w:ascii="Times New Roman" w:hAnsi="Times New Roman" w:cs="Times New Roman"/>
          <w:sz w:val="24"/>
          <w:szCs w:val="24"/>
        </w:rPr>
        <w:t xml:space="preserve">Hem, M., Molewijk, B., Gjerberg, E., Lillemoen, L., &amp; Pedersen, R. (June 2018). The significance of ethics reflection groups in mental health care: a focus group study among health care professionals. Retrieved from </w:t>
      </w:r>
      <w:r w:rsidRPr="00BB3B39">
        <w:rPr>
          <w:rFonts w:ascii="Times New Roman" w:hAnsi="Times New Roman" w:cs="Times New Roman"/>
          <w:sz w:val="24"/>
          <w:szCs w:val="24"/>
        </w:rPr>
        <w:t>https://link.springer.com/article/10.1186/s12910-018-0297-y</w:t>
      </w:r>
    </w:p>
    <w:p w:rsidR="00BB3B39" w:rsidRPr="00BB3B39" w:rsidRDefault="00440991" w:rsidP="00BB3B39">
      <w:pPr>
        <w:spacing w:line="480" w:lineRule="auto"/>
        <w:rPr>
          <w:rFonts w:ascii="Times New Roman" w:hAnsi="Times New Roman" w:cs="Times New Roman"/>
          <w:sz w:val="24"/>
          <w:szCs w:val="24"/>
        </w:rPr>
      </w:pPr>
      <w:r w:rsidRPr="00BB3B39">
        <w:rPr>
          <w:rFonts w:ascii="Times New Roman" w:hAnsi="Times New Roman" w:cs="Times New Roman"/>
          <w:color w:val="222222"/>
          <w:sz w:val="24"/>
          <w:szCs w:val="24"/>
          <w:shd w:val="clear" w:color="auto" w:fill="FFFFFF"/>
        </w:rPr>
        <w:t>Schott, R. L. (2012). Abraham Maslow, humanistic psychology,</w:t>
      </w:r>
      <w:r>
        <w:rPr>
          <w:rFonts w:ascii="Times New Roman" w:hAnsi="Times New Roman" w:cs="Times New Roman"/>
          <w:color w:val="222222"/>
          <w:sz w:val="24"/>
          <w:szCs w:val="24"/>
          <w:shd w:val="clear" w:color="auto" w:fill="FFFFFF"/>
        </w:rPr>
        <w:t xml:space="preserve"> and organization leadership: A</w:t>
      </w:r>
      <w:r>
        <w:rPr>
          <w:rFonts w:ascii="Times New Roman" w:hAnsi="Times New Roman" w:cs="Times New Roman"/>
          <w:color w:val="222222"/>
          <w:sz w:val="24"/>
          <w:szCs w:val="24"/>
          <w:shd w:val="clear" w:color="auto" w:fill="FFFFFF"/>
        </w:rPr>
        <w:tab/>
      </w:r>
      <w:r w:rsidRPr="00BB3B39">
        <w:rPr>
          <w:rFonts w:ascii="Times New Roman" w:hAnsi="Times New Roman" w:cs="Times New Roman"/>
          <w:color w:val="222222"/>
          <w:sz w:val="24"/>
          <w:szCs w:val="24"/>
          <w:shd w:val="clear" w:color="auto" w:fill="FFFFFF"/>
        </w:rPr>
        <w:t>Jungian perspective. </w:t>
      </w:r>
      <w:r w:rsidRPr="00BB3B39">
        <w:rPr>
          <w:rFonts w:ascii="Times New Roman" w:hAnsi="Times New Roman" w:cs="Times New Roman"/>
          <w:i/>
          <w:iCs/>
          <w:color w:val="222222"/>
          <w:sz w:val="24"/>
          <w:szCs w:val="24"/>
          <w:shd w:val="clear" w:color="auto" w:fill="FFFFFF"/>
        </w:rPr>
        <w:t>Journal o</w:t>
      </w:r>
    </w:p>
    <w:sectPr w:rsidR="00BB3B39" w:rsidRPr="00BB3B39" w:rsidSect="00260D2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0991" w:rsidRDefault="00440991" w:rsidP="00BB4945">
      <w:pPr>
        <w:spacing w:after="0" w:line="240" w:lineRule="auto"/>
      </w:pPr>
      <w:r>
        <w:separator/>
      </w:r>
    </w:p>
  </w:endnote>
  <w:endnote w:type="continuationSeparator" w:id="1">
    <w:p w:rsidR="00440991" w:rsidRDefault="00440991" w:rsidP="00BB49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0991" w:rsidRDefault="00440991" w:rsidP="00BB4945">
      <w:pPr>
        <w:spacing w:after="0" w:line="240" w:lineRule="auto"/>
      </w:pPr>
      <w:r>
        <w:separator/>
      </w:r>
    </w:p>
  </w:footnote>
  <w:footnote w:type="continuationSeparator" w:id="1">
    <w:p w:rsidR="00440991" w:rsidRDefault="00440991" w:rsidP="00BB49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9203920"/>
      <w:docPartObj>
        <w:docPartGallery w:val="Page Numbers (Top of Page)"/>
        <w:docPartUnique/>
      </w:docPartObj>
    </w:sdtPr>
    <w:sdtContent>
      <w:p w:rsidR="00260D2A" w:rsidRDefault="00440991">
        <w:pPr>
          <w:pStyle w:val="Header"/>
          <w:jc w:val="right"/>
        </w:pPr>
        <w:r>
          <w:rPr>
            <w:rFonts w:ascii="Times New Roman" w:hAnsi="Times New Roman" w:cs="Times New Roman"/>
            <w:sz w:val="24"/>
            <w:szCs w:val="24"/>
          </w:rPr>
          <w:t>P</w:t>
        </w:r>
        <w:r w:rsidRPr="001C240B">
          <w:rPr>
            <w:rFonts w:ascii="Times New Roman" w:hAnsi="Times New Roman" w:cs="Times New Roman"/>
            <w:sz w:val="24"/>
            <w:szCs w:val="24"/>
          </w:rPr>
          <w:t>ATIENT</w:t>
        </w:r>
        <w:r w:rsidRPr="001C240B">
          <w:rPr>
            <w:rFonts w:ascii="Times New Roman" w:hAnsi="Times New Roman" w:cs="Times New Roman"/>
            <w:sz w:val="24"/>
            <w:szCs w:val="24"/>
          </w:rPr>
          <w:t xml:space="preserve"> TREATMENT AND SOCIAL IMPLICATIONS</w:t>
        </w:r>
        <w:r w:rsidR="005E0142">
          <w:tab/>
        </w:r>
        <w:r w:rsidR="00BB4945">
          <w:fldChar w:fldCharType="begin"/>
        </w:r>
        <w:r>
          <w:instrText xml:space="preserve"> PAGE   \* MERGEFORMAT </w:instrText>
        </w:r>
        <w:r w:rsidR="00BB4945">
          <w:fldChar w:fldCharType="separate"/>
        </w:r>
        <w:r w:rsidR="00574364">
          <w:rPr>
            <w:noProof/>
          </w:rPr>
          <w:t>7</w:t>
        </w:r>
        <w:r w:rsidR="00BB4945">
          <w:rPr>
            <w:noProof/>
          </w:rPr>
          <w:fldChar w:fldCharType="end"/>
        </w:r>
      </w:p>
    </w:sdtContent>
  </w:sdt>
  <w:p w:rsidR="00260D2A" w:rsidRDefault="00260D2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D2A" w:rsidRPr="00D75492" w:rsidRDefault="00440991" w:rsidP="001C240B">
    <w:pPr>
      <w:spacing w:line="480" w:lineRule="auto"/>
      <w:rPr>
        <w:rFonts w:ascii="Times New Roman" w:hAnsi="Times New Roman" w:cs="Times New Roman"/>
        <w:sz w:val="24"/>
        <w:szCs w:val="24"/>
      </w:rPr>
    </w:pPr>
    <w:r w:rsidRPr="00D75492">
      <w:rPr>
        <w:rFonts w:ascii="Times New Roman" w:hAnsi="Times New Roman" w:cs="Times New Roman"/>
        <w:sz w:val="24"/>
        <w:szCs w:val="24"/>
      </w:rPr>
      <w:t xml:space="preserve">Running head: </w:t>
    </w:r>
    <w:r w:rsidR="001C240B">
      <w:rPr>
        <w:rFonts w:ascii="Times New Roman" w:hAnsi="Times New Roman" w:cs="Times New Roman"/>
        <w:sz w:val="24"/>
        <w:szCs w:val="24"/>
      </w:rPr>
      <w:t>P</w:t>
    </w:r>
    <w:r w:rsidR="001C240B" w:rsidRPr="001C240B">
      <w:rPr>
        <w:rFonts w:ascii="Times New Roman" w:hAnsi="Times New Roman" w:cs="Times New Roman"/>
        <w:sz w:val="24"/>
        <w:szCs w:val="24"/>
      </w:rPr>
      <w:t>ATIENT TREATMENT AND SOCIAL IMPLICATIONS</w:t>
    </w:r>
    <w:r w:rsidR="001C240B">
      <w:rPr>
        <w:rFonts w:ascii="Times New Roman" w:hAnsi="Times New Roman" w:cs="Times New Roman"/>
        <w:sz w:val="24"/>
        <w:szCs w:val="24"/>
      </w:rPr>
      <w:tab/>
    </w:r>
    <w:r w:rsidR="001C240B">
      <w:rPr>
        <w:rFonts w:ascii="Times New Roman" w:hAnsi="Times New Roman" w:cs="Times New Roman"/>
        <w:sz w:val="24"/>
        <w:szCs w:val="24"/>
      </w:rPr>
      <w:tab/>
      <w:t xml:space="preserve">          </w:t>
    </w:r>
    <w:r w:rsidR="005E0142">
      <w:rPr>
        <w:rFonts w:ascii="Times New Roman" w:hAnsi="Times New Roman" w:cs="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A31E33F8"/>
    <w:lvl w:ilvl="0">
      <w:numFmt w:val="bullet"/>
      <w:lvlText w:val="*"/>
      <w:lvlJc w:val="left"/>
    </w:lvl>
  </w:abstractNum>
  <w:abstractNum w:abstractNumId="1">
    <w:nsid w:val="01A11D89"/>
    <w:multiLevelType w:val="hybridMultilevel"/>
    <w:tmpl w:val="42CA97F8"/>
    <w:lvl w:ilvl="0" w:tplc="ABA0B722">
      <w:start w:val="1"/>
      <w:numFmt w:val="upperLetter"/>
      <w:lvlText w:val="%1."/>
      <w:lvlJc w:val="left"/>
      <w:pPr>
        <w:ind w:left="720" w:hanging="360"/>
      </w:pPr>
      <w:rPr>
        <w:rFonts w:hint="default"/>
      </w:rPr>
    </w:lvl>
    <w:lvl w:ilvl="1" w:tplc="0416172C" w:tentative="1">
      <w:start w:val="1"/>
      <w:numFmt w:val="lowerLetter"/>
      <w:lvlText w:val="%2."/>
      <w:lvlJc w:val="left"/>
      <w:pPr>
        <w:ind w:left="1440" w:hanging="360"/>
      </w:pPr>
    </w:lvl>
    <w:lvl w:ilvl="2" w:tplc="3E1899F2" w:tentative="1">
      <w:start w:val="1"/>
      <w:numFmt w:val="lowerRoman"/>
      <w:lvlText w:val="%3."/>
      <w:lvlJc w:val="right"/>
      <w:pPr>
        <w:ind w:left="2160" w:hanging="180"/>
      </w:pPr>
    </w:lvl>
    <w:lvl w:ilvl="3" w:tplc="446E883A" w:tentative="1">
      <w:start w:val="1"/>
      <w:numFmt w:val="decimal"/>
      <w:lvlText w:val="%4."/>
      <w:lvlJc w:val="left"/>
      <w:pPr>
        <w:ind w:left="2880" w:hanging="360"/>
      </w:pPr>
    </w:lvl>
    <w:lvl w:ilvl="4" w:tplc="8AC646BC" w:tentative="1">
      <w:start w:val="1"/>
      <w:numFmt w:val="lowerLetter"/>
      <w:lvlText w:val="%5."/>
      <w:lvlJc w:val="left"/>
      <w:pPr>
        <w:ind w:left="3600" w:hanging="360"/>
      </w:pPr>
    </w:lvl>
    <w:lvl w:ilvl="5" w:tplc="1CA8B384" w:tentative="1">
      <w:start w:val="1"/>
      <w:numFmt w:val="lowerRoman"/>
      <w:lvlText w:val="%6."/>
      <w:lvlJc w:val="right"/>
      <w:pPr>
        <w:ind w:left="4320" w:hanging="180"/>
      </w:pPr>
    </w:lvl>
    <w:lvl w:ilvl="6" w:tplc="801C228A" w:tentative="1">
      <w:start w:val="1"/>
      <w:numFmt w:val="decimal"/>
      <w:lvlText w:val="%7."/>
      <w:lvlJc w:val="left"/>
      <w:pPr>
        <w:ind w:left="5040" w:hanging="360"/>
      </w:pPr>
    </w:lvl>
    <w:lvl w:ilvl="7" w:tplc="49BC0E38" w:tentative="1">
      <w:start w:val="1"/>
      <w:numFmt w:val="lowerLetter"/>
      <w:lvlText w:val="%8."/>
      <w:lvlJc w:val="left"/>
      <w:pPr>
        <w:ind w:left="5760" w:hanging="360"/>
      </w:pPr>
    </w:lvl>
    <w:lvl w:ilvl="8" w:tplc="EFB0BCFE" w:tentative="1">
      <w:start w:val="1"/>
      <w:numFmt w:val="lowerRoman"/>
      <w:lvlText w:val="%9."/>
      <w:lvlJc w:val="right"/>
      <w:pPr>
        <w:ind w:left="6480" w:hanging="180"/>
      </w:pPr>
    </w:lvl>
  </w:abstractNum>
  <w:abstractNum w:abstractNumId="2">
    <w:nsid w:val="08090180"/>
    <w:multiLevelType w:val="multilevel"/>
    <w:tmpl w:val="5872A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F25AC7"/>
    <w:multiLevelType w:val="multilevel"/>
    <w:tmpl w:val="86A60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C23545F"/>
    <w:multiLevelType w:val="multilevel"/>
    <w:tmpl w:val="2C66A0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5BD3136"/>
    <w:multiLevelType w:val="multilevel"/>
    <w:tmpl w:val="0409001D"/>
    <w:styleLink w:val="Style1"/>
    <w:lvl w:ilvl="0">
      <w:start w:val="1"/>
      <w:numFmt w:val="upperRoman"/>
      <w:lvlText w:val="%1)"/>
      <w:lvlJc w:val="left"/>
      <w:pPr>
        <w:ind w:left="360" w:hanging="360"/>
      </w:pPr>
      <w:rPr>
        <w:rFonts w:ascii="Times New Roman" w:hAnsi="Times New Roman"/>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1C5E745A"/>
    <w:multiLevelType w:val="hybridMultilevel"/>
    <w:tmpl w:val="C2B8C512"/>
    <w:lvl w:ilvl="0" w:tplc="32FAF8B0">
      <w:start w:val="1"/>
      <w:numFmt w:val="bullet"/>
      <w:lvlText w:val=""/>
      <w:lvlJc w:val="left"/>
      <w:pPr>
        <w:ind w:left="765" w:hanging="360"/>
      </w:pPr>
      <w:rPr>
        <w:rFonts w:ascii="Symbol" w:hAnsi="Symbol" w:hint="default"/>
      </w:rPr>
    </w:lvl>
    <w:lvl w:ilvl="1" w:tplc="F94EB508" w:tentative="1">
      <w:start w:val="1"/>
      <w:numFmt w:val="bullet"/>
      <w:lvlText w:val="o"/>
      <w:lvlJc w:val="left"/>
      <w:pPr>
        <w:ind w:left="1485" w:hanging="360"/>
      </w:pPr>
      <w:rPr>
        <w:rFonts w:ascii="Courier New" w:hAnsi="Courier New" w:cs="Courier New" w:hint="default"/>
      </w:rPr>
    </w:lvl>
    <w:lvl w:ilvl="2" w:tplc="75801B5A" w:tentative="1">
      <w:start w:val="1"/>
      <w:numFmt w:val="bullet"/>
      <w:lvlText w:val=""/>
      <w:lvlJc w:val="left"/>
      <w:pPr>
        <w:ind w:left="2205" w:hanging="360"/>
      </w:pPr>
      <w:rPr>
        <w:rFonts w:ascii="Wingdings" w:hAnsi="Wingdings" w:hint="default"/>
      </w:rPr>
    </w:lvl>
    <w:lvl w:ilvl="3" w:tplc="8A4E6464" w:tentative="1">
      <w:start w:val="1"/>
      <w:numFmt w:val="bullet"/>
      <w:lvlText w:val=""/>
      <w:lvlJc w:val="left"/>
      <w:pPr>
        <w:ind w:left="2925" w:hanging="360"/>
      </w:pPr>
      <w:rPr>
        <w:rFonts w:ascii="Symbol" w:hAnsi="Symbol" w:hint="default"/>
      </w:rPr>
    </w:lvl>
    <w:lvl w:ilvl="4" w:tplc="BB02B248" w:tentative="1">
      <w:start w:val="1"/>
      <w:numFmt w:val="bullet"/>
      <w:lvlText w:val="o"/>
      <w:lvlJc w:val="left"/>
      <w:pPr>
        <w:ind w:left="3645" w:hanging="360"/>
      </w:pPr>
      <w:rPr>
        <w:rFonts w:ascii="Courier New" w:hAnsi="Courier New" w:cs="Courier New" w:hint="default"/>
      </w:rPr>
    </w:lvl>
    <w:lvl w:ilvl="5" w:tplc="E110A8F8" w:tentative="1">
      <w:start w:val="1"/>
      <w:numFmt w:val="bullet"/>
      <w:lvlText w:val=""/>
      <w:lvlJc w:val="left"/>
      <w:pPr>
        <w:ind w:left="4365" w:hanging="360"/>
      </w:pPr>
      <w:rPr>
        <w:rFonts w:ascii="Wingdings" w:hAnsi="Wingdings" w:hint="default"/>
      </w:rPr>
    </w:lvl>
    <w:lvl w:ilvl="6" w:tplc="C49E6E8C" w:tentative="1">
      <w:start w:val="1"/>
      <w:numFmt w:val="bullet"/>
      <w:lvlText w:val=""/>
      <w:lvlJc w:val="left"/>
      <w:pPr>
        <w:ind w:left="5085" w:hanging="360"/>
      </w:pPr>
      <w:rPr>
        <w:rFonts w:ascii="Symbol" w:hAnsi="Symbol" w:hint="default"/>
      </w:rPr>
    </w:lvl>
    <w:lvl w:ilvl="7" w:tplc="7DA6DF22" w:tentative="1">
      <w:start w:val="1"/>
      <w:numFmt w:val="bullet"/>
      <w:lvlText w:val="o"/>
      <w:lvlJc w:val="left"/>
      <w:pPr>
        <w:ind w:left="5805" w:hanging="360"/>
      </w:pPr>
      <w:rPr>
        <w:rFonts w:ascii="Courier New" w:hAnsi="Courier New" w:cs="Courier New" w:hint="default"/>
      </w:rPr>
    </w:lvl>
    <w:lvl w:ilvl="8" w:tplc="C9881C50" w:tentative="1">
      <w:start w:val="1"/>
      <w:numFmt w:val="bullet"/>
      <w:lvlText w:val=""/>
      <w:lvlJc w:val="left"/>
      <w:pPr>
        <w:ind w:left="6525" w:hanging="360"/>
      </w:pPr>
      <w:rPr>
        <w:rFonts w:ascii="Wingdings" w:hAnsi="Wingdings" w:hint="default"/>
      </w:rPr>
    </w:lvl>
  </w:abstractNum>
  <w:abstractNum w:abstractNumId="7">
    <w:nsid w:val="33BF6FB8"/>
    <w:multiLevelType w:val="hybridMultilevel"/>
    <w:tmpl w:val="1E643ACA"/>
    <w:lvl w:ilvl="0" w:tplc="E34674EC">
      <w:start w:val="1"/>
      <w:numFmt w:val="decimal"/>
      <w:lvlText w:val="%1."/>
      <w:lvlJc w:val="left"/>
      <w:pPr>
        <w:ind w:left="720" w:hanging="360"/>
      </w:pPr>
      <w:rPr>
        <w:rFonts w:hint="default"/>
      </w:rPr>
    </w:lvl>
    <w:lvl w:ilvl="1" w:tplc="265E4FE4" w:tentative="1">
      <w:start w:val="1"/>
      <w:numFmt w:val="lowerLetter"/>
      <w:lvlText w:val="%2."/>
      <w:lvlJc w:val="left"/>
      <w:pPr>
        <w:ind w:left="1440" w:hanging="360"/>
      </w:pPr>
    </w:lvl>
    <w:lvl w:ilvl="2" w:tplc="6284D45C" w:tentative="1">
      <w:start w:val="1"/>
      <w:numFmt w:val="lowerRoman"/>
      <w:lvlText w:val="%3."/>
      <w:lvlJc w:val="right"/>
      <w:pPr>
        <w:ind w:left="2160" w:hanging="180"/>
      </w:pPr>
    </w:lvl>
    <w:lvl w:ilvl="3" w:tplc="61101FF0" w:tentative="1">
      <w:start w:val="1"/>
      <w:numFmt w:val="decimal"/>
      <w:lvlText w:val="%4."/>
      <w:lvlJc w:val="left"/>
      <w:pPr>
        <w:ind w:left="2880" w:hanging="360"/>
      </w:pPr>
    </w:lvl>
    <w:lvl w:ilvl="4" w:tplc="7D92ECBC" w:tentative="1">
      <w:start w:val="1"/>
      <w:numFmt w:val="lowerLetter"/>
      <w:lvlText w:val="%5."/>
      <w:lvlJc w:val="left"/>
      <w:pPr>
        <w:ind w:left="3600" w:hanging="360"/>
      </w:pPr>
    </w:lvl>
    <w:lvl w:ilvl="5" w:tplc="7C9858A4" w:tentative="1">
      <w:start w:val="1"/>
      <w:numFmt w:val="lowerRoman"/>
      <w:lvlText w:val="%6."/>
      <w:lvlJc w:val="right"/>
      <w:pPr>
        <w:ind w:left="4320" w:hanging="180"/>
      </w:pPr>
    </w:lvl>
    <w:lvl w:ilvl="6" w:tplc="E848A562" w:tentative="1">
      <w:start w:val="1"/>
      <w:numFmt w:val="decimal"/>
      <w:lvlText w:val="%7."/>
      <w:lvlJc w:val="left"/>
      <w:pPr>
        <w:ind w:left="5040" w:hanging="360"/>
      </w:pPr>
    </w:lvl>
    <w:lvl w:ilvl="7" w:tplc="49C8D338" w:tentative="1">
      <w:start w:val="1"/>
      <w:numFmt w:val="lowerLetter"/>
      <w:lvlText w:val="%8."/>
      <w:lvlJc w:val="left"/>
      <w:pPr>
        <w:ind w:left="5760" w:hanging="360"/>
      </w:pPr>
    </w:lvl>
    <w:lvl w:ilvl="8" w:tplc="C73CE9EA" w:tentative="1">
      <w:start w:val="1"/>
      <w:numFmt w:val="lowerRoman"/>
      <w:lvlText w:val="%9."/>
      <w:lvlJc w:val="right"/>
      <w:pPr>
        <w:ind w:left="6480" w:hanging="180"/>
      </w:pPr>
    </w:lvl>
  </w:abstractNum>
  <w:abstractNum w:abstractNumId="8">
    <w:nsid w:val="74B04A39"/>
    <w:multiLevelType w:val="multilevel"/>
    <w:tmpl w:val="50646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B65274B"/>
    <w:multiLevelType w:val="hybridMultilevel"/>
    <w:tmpl w:val="5C4EA80A"/>
    <w:lvl w:ilvl="0" w:tplc="1FA6A21C">
      <w:start w:val="1"/>
      <w:numFmt w:val="bullet"/>
      <w:lvlText w:val=""/>
      <w:lvlJc w:val="left"/>
      <w:pPr>
        <w:ind w:left="720" w:hanging="360"/>
      </w:pPr>
      <w:rPr>
        <w:rFonts w:ascii="Symbol" w:hAnsi="Symbol" w:hint="default"/>
      </w:rPr>
    </w:lvl>
    <w:lvl w:ilvl="1" w:tplc="BAC47714" w:tentative="1">
      <w:start w:val="1"/>
      <w:numFmt w:val="bullet"/>
      <w:lvlText w:val="o"/>
      <w:lvlJc w:val="left"/>
      <w:pPr>
        <w:ind w:left="1440" w:hanging="360"/>
      </w:pPr>
      <w:rPr>
        <w:rFonts w:ascii="Courier New" w:hAnsi="Courier New" w:cs="Courier New" w:hint="default"/>
      </w:rPr>
    </w:lvl>
    <w:lvl w:ilvl="2" w:tplc="A392B39E" w:tentative="1">
      <w:start w:val="1"/>
      <w:numFmt w:val="bullet"/>
      <w:lvlText w:val=""/>
      <w:lvlJc w:val="left"/>
      <w:pPr>
        <w:ind w:left="2160" w:hanging="360"/>
      </w:pPr>
      <w:rPr>
        <w:rFonts w:ascii="Wingdings" w:hAnsi="Wingdings" w:hint="default"/>
      </w:rPr>
    </w:lvl>
    <w:lvl w:ilvl="3" w:tplc="26785110" w:tentative="1">
      <w:start w:val="1"/>
      <w:numFmt w:val="bullet"/>
      <w:lvlText w:val=""/>
      <w:lvlJc w:val="left"/>
      <w:pPr>
        <w:ind w:left="2880" w:hanging="360"/>
      </w:pPr>
      <w:rPr>
        <w:rFonts w:ascii="Symbol" w:hAnsi="Symbol" w:hint="default"/>
      </w:rPr>
    </w:lvl>
    <w:lvl w:ilvl="4" w:tplc="28EEC0E2" w:tentative="1">
      <w:start w:val="1"/>
      <w:numFmt w:val="bullet"/>
      <w:lvlText w:val="o"/>
      <w:lvlJc w:val="left"/>
      <w:pPr>
        <w:ind w:left="3600" w:hanging="360"/>
      </w:pPr>
      <w:rPr>
        <w:rFonts w:ascii="Courier New" w:hAnsi="Courier New" w:cs="Courier New" w:hint="default"/>
      </w:rPr>
    </w:lvl>
    <w:lvl w:ilvl="5" w:tplc="50A65B0E" w:tentative="1">
      <w:start w:val="1"/>
      <w:numFmt w:val="bullet"/>
      <w:lvlText w:val=""/>
      <w:lvlJc w:val="left"/>
      <w:pPr>
        <w:ind w:left="4320" w:hanging="360"/>
      </w:pPr>
      <w:rPr>
        <w:rFonts w:ascii="Wingdings" w:hAnsi="Wingdings" w:hint="default"/>
      </w:rPr>
    </w:lvl>
    <w:lvl w:ilvl="6" w:tplc="A5124F76" w:tentative="1">
      <w:start w:val="1"/>
      <w:numFmt w:val="bullet"/>
      <w:lvlText w:val=""/>
      <w:lvlJc w:val="left"/>
      <w:pPr>
        <w:ind w:left="5040" w:hanging="360"/>
      </w:pPr>
      <w:rPr>
        <w:rFonts w:ascii="Symbol" w:hAnsi="Symbol" w:hint="default"/>
      </w:rPr>
    </w:lvl>
    <w:lvl w:ilvl="7" w:tplc="C8701CB6" w:tentative="1">
      <w:start w:val="1"/>
      <w:numFmt w:val="bullet"/>
      <w:lvlText w:val="o"/>
      <w:lvlJc w:val="left"/>
      <w:pPr>
        <w:ind w:left="5760" w:hanging="360"/>
      </w:pPr>
      <w:rPr>
        <w:rFonts w:ascii="Courier New" w:hAnsi="Courier New" w:cs="Courier New" w:hint="default"/>
      </w:rPr>
    </w:lvl>
    <w:lvl w:ilvl="8" w:tplc="BC2C8C70"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7"/>
  </w:num>
  <w:num w:numId="4">
    <w:abstractNumId w:val="1"/>
  </w:num>
  <w:num w:numId="5">
    <w:abstractNumId w:val="4"/>
  </w:num>
  <w:num w:numId="6">
    <w:abstractNumId w:val="3"/>
  </w:num>
  <w:num w:numId="7">
    <w:abstractNumId w:val="8"/>
  </w:num>
  <w:num w:numId="8">
    <w:abstractNumId w:val="2"/>
  </w:num>
  <w:num w:numId="9">
    <w:abstractNumId w:val="0"/>
    <w:lvlOverride w:ilvl="0">
      <w:lvl w:ilvl="0">
        <w:numFmt w:val="bullet"/>
        <w:lvlText w:val=""/>
        <w:legacy w:legacy="1" w:legacySpace="0" w:legacyIndent="360"/>
        <w:lvlJc w:val="left"/>
        <w:rPr>
          <w:rFonts w:ascii="Symbol" w:hAnsi="Symbol" w:hint="default"/>
        </w:rPr>
      </w:lvl>
    </w:lvlOverride>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D42FB"/>
    <w:rsid w:val="000322D9"/>
    <w:rsid w:val="000C608E"/>
    <w:rsid w:val="000D42FB"/>
    <w:rsid w:val="00101E71"/>
    <w:rsid w:val="00134864"/>
    <w:rsid w:val="00182F17"/>
    <w:rsid w:val="00197DC5"/>
    <w:rsid w:val="001C240B"/>
    <w:rsid w:val="002025A0"/>
    <w:rsid w:val="002048D6"/>
    <w:rsid w:val="00260D2A"/>
    <w:rsid w:val="003238E8"/>
    <w:rsid w:val="00407803"/>
    <w:rsid w:val="0041080B"/>
    <w:rsid w:val="00440991"/>
    <w:rsid w:val="00440E75"/>
    <w:rsid w:val="0044742F"/>
    <w:rsid w:val="004477A2"/>
    <w:rsid w:val="004E47C6"/>
    <w:rsid w:val="00574364"/>
    <w:rsid w:val="005E0142"/>
    <w:rsid w:val="007F1E83"/>
    <w:rsid w:val="007F2F45"/>
    <w:rsid w:val="0084110A"/>
    <w:rsid w:val="008737F9"/>
    <w:rsid w:val="008D19B1"/>
    <w:rsid w:val="00953007"/>
    <w:rsid w:val="00976E83"/>
    <w:rsid w:val="009F24A3"/>
    <w:rsid w:val="00A1063E"/>
    <w:rsid w:val="00B05F96"/>
    <w:rsid w:val="00B10E13"/>
    <w:rsid w:val="00B62F0B"/>
    <w:rsid w:val="00BB3B39"/>
    <w:rsid w:val="00BB4945"/>
    <w:rsid w:val="00BC2843"/>
    <w:rsid w:val="00BF09BA"/>
    <w:rsid w:val="00D372C6"/>
    <w:rsid w:val="00D62628"/>
    <w:rsid w:val="00D75492"/>
    <w:rsid w:val="00DA34EA"/>
    <w:rsid w:val="00F4584A"/>
    <w:rsid w:val="00F52578"/>
    <w:rsid w:val="00F56278"/>
    <w:rsid w:val="00F82304"/>
    <w:rsid w:val="00F912FD"/>
    <w:rsid w:val="00F970C1"/>
    <w:rsid w:val="00FF0A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E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F56278"/>
    <w:pPr>
      <w:numPr>
        <w:numId w:val="1"/>
      </w:numPr>
    </w:pPr>
  </w:style>
  <w:style w:type="paragraph" w:styleId="ListParagraph">
    <w:name w:val="List Paragraph"/>
    <w:basedOn w:val="Normal"/>
    <w:uiPriority w:val="34"/>
    <w:qFormat/>
    <w:rsid w:val="00A1063E"/>
    <w:pPr>
      <w:ind w:left="720"/>
      <w:contextualSpacing/>
    </w:pPr>
  </w:style>
  <w:style w:type="character" w:customStyle="1" w:styleId="apple-converted-space">
    <w:name w:val="apple-converted-space"/>
    <w:basedOn w:val="DefaultParagraphFont"/>
    <w:rsid w:val="00F82304"/>
  </w:style>
  <w:style w:type="paragraph" w:styleId="Header">
    <w:name w:val="header"/>
    <w:basedOn w:val="Normal"/>
    <w:link w:val="HeaderChar"/>
    <w:uiPriority w:val="99"/>
    <w:unhideWhenUsed/>
    <w:rsid w:val="00260D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0D2A"/>
  </w:style>
  <w:style w:type="paragraph" w:styleId="Footer">
    <w:name w:val="footer"/>
    <w:basedOn w:val="Normal"/>
    <w:link w:val="FooterChar"/>
    <w:uiPriority w:val="99"/>
    <w:semiHidden/>
    <w:unhideWhenUsed/>
    <w:rsid w:val="00260D2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60D2A"/>
  </w:style>
  <w:style w:type="paragraph" w:styleId="NormalWeb">
    <w:name w:val="Normal (Web)"/>
    <w:basedOn w:val="Normal"/>
    <w:uiPriority w:val="99"/>
    <w:semiHidden/>
    <w:unhideWhenUsed/>
    <w:rsid w:val="005E014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1364</Words>
  <Characters>7778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DAVID</cp:lastModifiedBy>
  <cp:revision>3</cp:revision>
  <dcterms:created xsi:type="dcterms:W3CDTF">2019-04-02T14:05:00Z</dcterms:created>
  <dcterms:modified xsi:type="dcterms:W3CDTF">2019-04-02T14:05:00Z</dcterms:modified>
</cp:coreProperties>
</file>